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8" w:rsidRPr="00573D08" w:rsidRDefault="00573D08" w:rsidP="00573D08">
      <w:pPr>
        <w:pStyle w:val="newncpi0"/>
        <w:jc w:val="center"/>
      </w:pPr>
      <w:r w:rsidRPr="00573D08">
        <w:t> </w:t>
      </w:r>
    </w:p>
    <w:p w:rsidR="00573D08" w:rsidRPr="00573D08" w:rsidRDefault="00573D08" w:rsidP="00573D08">
      <w:pPr>
        <w:pStyle w:val="newncpi0"/>
        <w:jc w:val="center"/>
      </w:pPr>
      <w:bookmarkStart w:id="0" w:name="a2"/>
      <w:bookmarkEnd w:id="0"/>
      <w:r w:rsidRPr="00573D08">
        <w:rPr>
          <w:rStyle w:val="name"/>
        </w:rPr>
        <w:t>ПОСТАНОВЛЕНИЕ </w:t>
      </w:r>
      <w:r w:rsidRPr="00573D08">
        <w:rPr>
          <w:rStyle w:val="promulgator"/>
        </w:rPr>
        <w:t>СОВЕТА МИНИСТРОВ РЕСПУБЛИКИ БЕЛАРУСЬ</w:t>
      </w:r>
    </w:p>
    <w:p w:rsidR="00573D08" w:rsidRPr="00573D08" w:rsidRDefault="00573D08" w:rsidP="00573D08">
      <w:pPr>
        <w:pStyle w:val="newncpi"/>
        <w:ind w:firstLine="0"/>
        <w:jc w:val="center"/>
      </w:pPr>
      <w:r w:rsidRPr="00573D08">
        <w:rPr>
          <w:rStyle w:val="datepr"/>
        </w:rPr>
        <w:t>27 сентября 2016 г.</w:t>
      </w:r>
      <w:r w:rsidRPr="00573D08">
        <w:rPr>
          <w:rStyle w:val="number"/>
        </w:rPr>
        <w:t xml:space="preserve"> № 778</w:t>
      </w:r>
    </w:p>
    <w:p w:rsidR="00573D08" w:rsidRPr="00573D08" w:rsidRDefault="00573D08" w:rsidP="00573D08">
      <w:pPr>
        <w:pStyle w:val="titlencpi"/>
      </w:pPr>
      <w:r w:rsidRPr="00573D08">
        <w:t>Об определении совокупного дохода для предоставления безналичных жилищных субсидий</w:t>
      </w:r>
    </w:p>
    <w:p w:rsidR="00573D08" w:rsidRPr="00573D08" w:rsidRDefault="00573D08" w:rsidP="00573D08">
      <w:pPr>
        <w:pStyle w:val="changei"/>
      </w:pPr>
      <w:r w:rsidRPr="00573D08">
        <w:t>Изменения и дополнения:</w:t>
      </w:r>
    </w:p>
    <w:p w:rsidR="00573D08" w:rsidRPr="00573D08" w:rsidRDefault="00573D08" w:rsidP="00573D08">
      <w:pPr>
        <w:pStyle w:val="changeadd"/>
      </w:pPr>
      <w:r w:rsidRPr="00573D08">
        <w:t>Постановление</w:t>
      </w:r>
      <w:r w:rsidRPr="00573D08">
        <w:t xml:space="preserve"> Совета Министров Республики Беларусь от 4 октября 2017 г. № 747 (Национальный правовой Интернет-портал Республики Беларусь, 07.10.2017, 5/44266);</w:t>
      </w:r>
    </w:p>
    <w:p w:rsidR="00573D08" w:rsidRPr="00573D08" w:rsidRDefault="00573D08" w:rsidP="00573D08">
      <w:pPr>
        <w:pStyle w:val="changeadd"/>
      </w:pPr>
      <w:r w:rsidRPr="00573D08">
        <w:t>Постановление</w:t>
      </w:r>
      <w:r w:rsidRPr="00573D08">
        <w:t xml:space="preserve"> Совета Министров Республики Беларусь от 12 декабря 2017 г. № 952 (Национальный правовой Интернет-портал Республики Беларусь, 20.12.2017, 5/44553);</w:t>
      </w:r>
    </w:p>
    <w:p w:rsidR="00573D08" w:rsidRPr="00573D08" w:rsidRDefault="00573D08" w:rsidP="00573D08">
      <w:pPr>
        <w:pStyle w:val="changeadd"/>
      </w:pPr>
      <w:r w:rsidRPr="00573D08">
        <w:t>Постановление</w:t>
      </w:r>
      <w:r w:rsidRPr="00573D08">
        <w:t xml:space="preserve"> Совета Министров Республики Беларусь от 23 июля 2018 г. № 557 (Национальный правовой Интернет-портал Республики Беларусь, 25.07.2018, 5/45430)</w:t>
      </w:r>
    </w:p>
    <w:p w:rsidR="00573D08" w:rsidRPr="00573D08" w:rsidRDefault="00573D08" w:rsidP="00573D08">
      <w:pPr>
        <w:pStyle w:val="newncpi"/>
      </w:pPr>
      <w:r w:rsidRPr="00573D08">
        <w:t> </w:t>
      </w:r>
    </w:p>
    <w:p w:rsidR="00573D08" w:rsidRPr="00573D08" w:rsidRDefault="00573D08" w:rsidP="00573D08">
      <w:pPr>
        <w:pStyle w:val="preamble"/>
      </w:pPr>
      <w:r w:rsidRPr="00573D08">
        <w:t xml:space="preserve">В соответствии с </w:t>
      </w:r>
      <w:r w:rsidRPr="00573D08">
        <w:t>абзацем третьим</w:t>
      </w:r>
      <w:r w:rsidRPr="00573D08">
        <w:t xml:space="preserve"> подпункта 6.2 пункта 6 Указа Президента Республики Беларусь от 29 августа 2016 г. № 322 «О предоставлении безналичных жилищных субсидий» Совет Министров Республики Беларусь ПОСТАНОВЛЯЕТ:</w:t>
      </w:r>
    </w:p>
    <w:p w:rsidR="00573D08" w:rsidRPr="00573D08" w:rsidRDefault="00573D08" w:rsidP="00573D08">
      <w:pPr>
        <w:pStyle w:val="point"/>
      </w:pPr>
      <w:r w:rsidRPr="00573D08">
        <w:t xml:space="preserve">1. Определить </w:t>
      </w:r>
      <w:r w:rsidRPr="00573D08">
        <w:t>перечень</w:t>
      </w:r>
      <w:r w:rsidRPr="00573D08">
        <w:t xml:space="preserve"> доходов гражданина и проживающих совместно с ним членов его семьи, участвующих в определении совокупного дохода, для предоставления безналичных жилищных субсидий (далее - перечень) согласно приложению.</w:t>
      </w:r>
    </w:p>
    <w:p w:rsidR="00573D08" w:rsidRPr="00573D08" w:rsidRDefault="00573D08" w:rsidP="00573D08">
      <w:pPr>
        <w:pStyle w:val="point"/>
      </w:pPr>
      <w:r w:rsidRPr="00573D08">
        <w:t>2. Установить, что:</w:t>
      </w:r>
    </w:p>
    <w:p w:rsidR="00573D08" w:rsidRPr="00573D08" w:rsidRDefault="00573D08" w:rsidP="00573D08">
      <w:pPr>
        <w:pStyle w:val="underpoint"/>
      </w:pPr>
      <w:proofErr w:type="gramStart"/>
      <w:r w:rsidRPr="00573D08">
        <w:t>2.1. в совокупный доход гражданина (семьи), обратившегося (обратившейся) за предоставлением безналичных жилищных субсидий, включается общая сумма начисленного дохода.</w:t>
      </w:r>
      <w:proofErr w:type="gramEnd"/>
      <w:r w:rsidRPr="00573D08">
        <w:t xml:space="preserve"> При этом суммы налогов, сборов (пошлин), иных удержаний не вычитаются из общей (начисленной) суммы дохода;</w:t>
      </w:r>
    </w:p>
    <w:p w:rsidR="00573D08" w:rsidRPr="00573D08" w:rsidRDefault="00573D08" w:rsidP="00573D08">
      <w:pPr>
        <w:pStyle w:val="underpoint"/>
      </w:pPr>
      <w:r w:rsidRPr="00573D08">
        <w:t>2.2. доходы гражданина (семьи), полученные в иностранной валюте, пересчитываются в белорусские рубли по официальному курсу, установленному Национальным банком на день их получения, а доход за выполнение трудовых обязанностей - на последний день месяца, за который был начислен этот доход;</w:t>
      </w:r>
    </w:p>
    <w:p w:rsidR="00573D08" w:rsidRPr="00573D08" w:rsidRDefault="00573D08" w:rsidP="00573D08">
      <w:pPr>
        <w:pStyle w:val="underpoint"/>
      </w:pPr>
      <w:r w:rsidRPr="00573D08">
        <w:t xml:space="preserve">2.3. полученные гражданином (семьей) суммы алиментов делятся на количество месяцев, за которые они получены. При этом суммы таких алиментов учитываются на основании документов и (или) сведений, подтверждающих получение алиментов (справок организаций, почтовых, электронных переводов и </w:t>
      </w:r>
      <w:proofErr w:type="gramStart"/>
      <w:r w:rsidRPr="00573D08">
        <w:t>другого</w:t>
      </w:r>
      <w:proofErr w:type="gramEnd"/>
      <w:r w:rsidRPr="00573D08">
        <w:t>).</w:t>
      </w:r>
    </w:p>
    <w:p w:rsidR="00573D08" w:rsidRPr="00573D08" w:rsidRDefault="00573D08" w:rsidP="00573D08">
      <w:pPr>
        <w:pStyle w:val="point"/>
      </w:pPr>
      <w:r w:rsidRPr="00573D08">
        <w:t xml:space="preserve">3. Настоящее постановление вступает в силу с 1 октября </w:t>
      </w:r>
      <w:r w:rsidRPr="00573D08">
        <w:rPr>
          <w:rStyle w:val="HTML"/>
        </w:rPr>
        <w:t>2016</w:t>
      </w:r>
      <w:r w:rsidRPr="00573D08">
        <w:t> г.</w:t>
      </w:r>
    </w:p>
    <w:p w:rsidR="00573D08" w:rsidRPr="00573D08" w:rsidRDefault="00573D08" w:rsidP="00573D08">
      <w:pPr>
        <w:pStyle w:val="newncpi"/>
      </w:pPr>
      <w:r w:rsidRPr="00573D0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85"/>
      </w:tblGrid>
      <w:tr w:rsidR="00573D08" w:rsidRPr="00573D08" w:rsidTr="00573D08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3D08" w:rsidRPr="00573D08" w:rsidRDefault="00573D08">
            <w:pPr>
              <w:pStyle w:val="newncpi0"/>
              <w:jc w:val="left"/>
            </w:pPr>
            <w:r w:rsidRPr="00573D08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3D08" w:rsidRPr="00573D08" w:rsidRDefault="00573D08">
            <w:pPr>
              <w:pStyle w:val="newncpi0"/>
              <w:jc w:val="right"/>
            </w:pPr>
            <w:proofErr w:type="spellStart"/>
            <w:r w:rsidRPr="00573D08">
              <w:rPr>
                <w:rStyle w:val="pers"/>
              </w:rPr>
              <w:t>А.Кобяков</w:t>
            </w:r>
            <w:proofErr w:type="spellEnd"/>
          </w:p>
        </w:tc>
      </w:tr>
    </w:tbl>
    <w:p w:rsidR="00573D08" w:rsidRPr="00573D08" w:rsidRDefault="00573D08" w:rsidP="00573D08">
      <w:pPr>
        <w:pStyle w:val="newncpi"/>
      </w:pPr>
      <w:r w:rsidRPr="00573D0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2128"/>
      </w:tblGrid>
      <w:tr w:rsidR="00573D08" w:rsidRPr="00573D08" w:rsidTr="00573D08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D08" w:rsidRPr="00573D08" w:rsidRDefault="00573D08">
            <w:pPr>
              <w:pStyle w:val="newncpi"/>
              <w:ind w:firstLine="0"/>
            </w:pPr>
            <w:r w:rsidRPr="00573D08">
              <w:lastRenderedPageBreak/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D08" w:rsidRPr="00573D08" w:rsidRDefault="00573D08">
            <w:pPr>
              <w:pStyle w:val="append1"/>
            </w:pPr>
            <w:bookmarkStart w:id="1" w:name="a4"/>
            <w:bookmarkEnd w:id="1"/>
            <w:r w:rsidRPr="00573D08">
              <w:t>Приложение</w:t>
            </w:r>
          </w:p>
          <w:p w:rsidR="00573D08" w:rsidRPr="00573D08" w:rsidRDefault="00573D08">
            <w:pPr>
              <w:pStyle w:val="append"/>
            </w:pPr>
            <w:r w:rsidRPr="00573D08">
              <w:t xml:space="preserve">к </w:t>
            </w:r>
            <w:r w:rsidRPr="00573D08">
              <w:t>постановлению</w:t>
            </w:r>
            <w:r w:rsidRPr="00573D08">
              <w:t xml:space="preserve"> </w:t>
            </w:r>
            <w:r w:rsidRPr="00573D08">
              <w:br/>
              <w:t xml:space="preserve">Совета Министров </w:t>
            </w:r>
            <w:r w:rsidRPr="00573D08">
              <w:br/>
              <w:t>Республики Беларусь</w:t>
            </w:r>
            <w:r w:rsidRPr="00573D08">
              <w:br/>
            </w:r>
            <w:r w:rsidRPr="00573D08">
              <w:rPr>
                <w:rStyle w:val="HTML"/>
              </w:rPr>
              <w:t>27</w:t>
            </w:r>
            <w:r w:rsidRPr="00573D08">
              <w:t>.</w:t>
            </w:r>
            <w:r w:rsidRPr="00573D08">
              <w:rPr>
                <w:rStyle w:val="HTML"/>
              </w:rPr>
              <w:t>09</w:t>
            </w:r>
            <w:r w:rsidRPr="00573D08">
              <w:t>.</w:t>
            </w:r>
            <w:r w:rsidRPr="00573D08">
              <w:rPr>
                <w:rStyle w:val="HTML"/>
              </w:rPr>
              <w:t>2016</w:t>
            </w:r>
            <w:r w:rsidRPr="00573D08">
              <w:t xml:space="preserve"> № </w:t>
            </w:r>
            <w:r w:rsidRPr="00573D08">
              <w:rPr>
                <w:rStyle w:val="HTML"/>
              </w:rPr>
              <w:t>778</w:t>
            </w:r>
          </w:p>
        </w:tc>
      </w:tr>
    </w:tbl>
    <w:p w:rsidR="00573D08" w:rsidRPr="00573D08" w:rsidRDefault="00573D08" w:rsidP="00573D08">
      <w:pPr>
        <w:pStyle w:val="titlep"/>
        <w:jc w:val="left"/>
      </w:pPr>
      <w:bookmarkStart w:id="2" w:name="a1"/>
      <w:bookmarkEnd w:id="2"/>
      <w:r w:rsidRPr="00573D08">
        <w:t>ПЕРЕЧЕНЬ</w:t>
      </w:r>
      <w:r w:rsidRPr="00573D08">
        <w:br/>
        <w:t>доходов гражданина и проживающих совместно с ним членов его семьи, участвующих в определении совокупного дохода, для предоставления безналичных жилищных субсидий</w:t>
      </w:r>
    </w:p>
    <w:p w:rsidR="00573D08" w:rsidRPr="00573D08" w:rsidRDefault="00573D08" w:rsidP="00573D08">
      <w:pPr>
        <w:pStyle w:val="point"/>
      </w:pPr>
      <w:bookmarkStart w:id="3" w:name="a5"/>
      <w:bookmarkEnd w:id="3"/>
      <w:r w:rsidRPr="00573D08">
        <w:t xml:space="preserve">1. Доходы, включаемые в совокупный доход гражданина (семьи), определяемые для предоставления безналичных жилищных субсидий по </w:t>
      </w:r>
      <w:proofErr w:type="spellStart"/>
      <w:r w:rsidRPr="00573D08">
        <w:t>выявительному</w:t>
      </w:r>
      <w:proofErr w:type="spellEnd"/>
      <w:r w:rsidRPr="00573D08">
        <w:t xml:space="preserve"> принципу:</w:t>
      </w:r>
    </w:p>
    <w:p w:rsidR="00573D08" w:rsidRPr="00573D08" w:rsidRDefault="00573D08" w:rsidP="00573D08">
      <w:pPr>
        <w:pStyle w:val="underpoint"/>
      </w:pPr>
      <w:r w:rsidRPr="00573D08">
        <w:t>1.1. все виды пенсий, в том числе получаемых из других государств, с учетом надбавок, доплат и повышений;</w:t>
      </w:r>
    </w:p>
    <w:p w:rsidR="00573D08" w:rsidRPr="00573D08" w:rsidRDefault="00573D08" w:rsidP="00573D08">
      <w:pPr>
        <w:pStyle w:val="underpoint"/>
      </w:pPr>
      <w:r w:rsidRPr="00573D08">
        <w:t>1.2. 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573D08" w:rsidRPr="00573D08" w:rsidRDefault="00573D08" w:rsidP="00573D08">
      <w:pPr>
        <w:pStyle w:val="underpoint"/>
      </w:pPr>
      <w:r w:rsidRPr="00573D08">
        <w:t xml:space="preserve">1.3. ежемесячное денежное содержание, предоставляемое в соответствии с </w:t>
      </w:r>
      <w:r w:rsidRPr="00573D08">
        <w:t>Указом</w:t>
      </w:r>
      <w:r w:rsidRPr="00573D08">
        <w:t xml:space="preserve"> Президента Республики Беларусь от 30 ноября 2006 г. № 705 «О ежемесячном денежном содержании отдельных категорий государственных служащих» (Национальный реестр правовых актов Республики Беларусь, 2006 г., № 201, 1/8123);</w:t>
      </w:r>
    </w:p>
    <w:p w:rsidR="00573D08" w:rsidRPr="00573D08" w:rsidRDefault="00573D08" w:rsidP="00573D08">
      <w:pPr>
        <w:pStyle w:val="underpoint"/>
      </w:pPr>
      <w:r w:rsidRPr="00573D08">
        <w:t>1.4. пособие по безработице;</w:t>
      </w:r>
    </w:p>
    <w:p w:rsidR="00573D08" w:rsidRPr="00573D08" w:rsidRDefault="00573D08" w:rsidP="00573D08">
      <w:pPr>
        <w:pStyle w:val="underpoint"/>
      </w:pPr>
      <w:proofErr w:type="gramStart"/>
      <w:r w:rsidRPr="00573D08">
        <w:t>1.5. стипендии в период профессиональной подготовки, переподготовки, повышения квалификации и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(далее - профессиональная подготовка, переподготовка, повышение квалификации и освоение содержания образовательной программы обучающих курсов) по направлению комитета по труду, занятости и социальной защите Минского горисполкома, управления (отдела) по труду, занятости и социальной защите</w:t>
      </w:r>
      <w:proofErr w:type="gramEnd"/>
      <w:r w:rsidRPr="00573D08">
        <w:t xml:space="preserve"> горисполкома, райисполкома (далее - орган по труду, занятости и социальной защите);</w:t>
      </w:r>
    </w:p>
    <w:p w:rsidR="00573D08" w:rsidRPr="00573D08" w:rsidRDefault="00573D08" w:rsidP="00573D08">
      <w:pPr>
        <w:pStyle w:val="underpoint"/>
      </w:pPr>
      <w:r w:rsidRPr="00573D08">
        <w:t>1.6. материальная помощь безработным и членам их семей, находящимся на их иждивении,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 по направлению органа по труду, занятости и социальной защите;</w:t>
      </w:r>
    </w:p>
    <w:p w:rsidR="00573D08" w:rsidRPr="00573D08" w:rsidRDefault="00573D08" w:rsidP="00573D08">
      <w:pPr>
        <w:pStyle w:val="underpoint"/>
      </w:pPr>
      <w:proofErr w:type="gramStart"/>
      <w:r w:rsidRPr="00573D08">
        <w:t xml:space="preserve">1.7. пособия, назначенные в соответствии с </w:t>
      </w:r>
      <w:r w:rsidRPr="00573D08">
        <w:t>Законом</w:t>
      </w:r>
      <w:r w:rsidRPr="00573D08">
        <w:t xml:space="preserve"> Республики Беларусь от 29 декабря 2012 года «О государственных пособиях семьям, воспитывающим детей» (Национальный правовой Интернет-портал Республики Беларусь, 06.01.2013, 2/2005; 15.07.2017, 2/2471),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  <w:proofErr w:type="gramEnd"/>
    </w:p>
    <w:p w:rsidR="00573D08" w:rsidRPr="00573D08" w:rsidRDefault="00573D08" w:rsidP="00573D08">
      <w:pPr>
        <w:pStyle w:val="underpoint"/>
      </w:pPr>
      <w:r w:rsidRPr="00573D08">
        <w:t>1.8. пособие по уходу за инвалидом I группы либо лицом, достигшим 80-летнего возраста.</w:t>
      </w:r>
    </w:p>
    <w:p w:rsidR="00573D08" w:rsidRPr="00573D08" w:rsidRDefault="00573D08" w:rsidP="00573D08">
      <w:pPr>
        <w:pStyle w:val="point"/>
      </w:pPr>
      <w:r w:rsidRPr="00573D08">
        <w:t>2. Доходы, включаемые в совокупный доход гражданина (семьи), определяемые для предоставления безналичных жилищных субсидий по заявительному принципу:</w:t>
      </w:r>
    </w:p>
    <w:p w:rsidR="00573D08" w:rsidRPr="00573D08" w:rsidRDefault="00573D08" w:rsidP="00573D08">
      <w:pPr>
        <w:pStyle w:val="underpoint"/>
      </w:pPr>
      <w:proofErr w:type="gramStart"/>
      <w:r w:rsidRPr="00573D08">
        <w:t>2.1. сумма заработной платы в месяце, за который она начислена;</w:t>
      </w:r>
      <w:proofErr w:type="gramEnd"/>
    </w:p>
    <w:p w:rsidR="00573D08" w:rsidRPr="00573D08" w:rsidRDefault="00573D08" w:rsidP="00573D08">
      <w:pPr>
        <w:pStyle w:val="underpoint"/>
      </w:pPr>
      <w:r w:rsidRPr="00573D08">
        <w:lastRenderedPageBreak/>
        <w:t>2.2. 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 Республики Беларусь, органов финансовых расследований Комитета государственного контроля, органов и подразделений по чрезвычайным ситуациям Республики Беларусь, а также установленные законодательством дополнительные выплаты, носящие постоянный характер;</w:t>
      </w:r>
    </w:p>
    <w:p w:rsidR="00573D08" w:rsidRPr="00573D08" w:rsidRDefault="00573D08" w:rsidP="00573D08">
      <w:pPr>
        <w:pStyle w:val="underpoint"/>
      </w:pPr>
      <w:r w:rsidRPr="00573D08">
        <w:t xml:space="preserve">2.3. выходное пособие, выплачиваемое в случае прекращения трудового </w:t>
      </w:r>
      <w:r w:rsidRPr="00573D08">
        <w:t>договора</w:t>
      </w:r>
      <w:r w:rsidRPr="00573D08">
        <w:t xml:space="preserve"> (контракта) в соответствии с законодательством, в том числе выплачиваемое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работников;</w:t>
      </w:r>
    </w:p>
    <w:p w:rsidR="00573D08" w:rsidRPr="00573D08" w:rsidRDefault="00573D08" w:rsidP="00573D08">
      <w:pPr>
        <w:pStyle w:val="underpoint"/>
      </w:pPr>
      <w:proofErr w:type="gramStart"/>
      <w:r w:rsidRPr="00573D08">
        <w:t xml:space="preserve">2.4. 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 Республики Беларусь, органов финансовых расследований Комитета государственного контроля, органов и подразделений по чрезвычайным ситуациям Республики Беларусь, за исключением выходного пособия, выплачиваемого при прекращении трудового </w:t>
      </w:r>
      <w:r w:rsidRPr="00573D08">
        <w:t>договора</w:t>
      </w:r>
      <w:r w:rsidRPr="00573D08">
        <w:t xml:space="preserve"> (контракта) в связи с ликвидацией организации, сокращением численности или штата работников;</w:t>
      </w:r>
      <w:proofErr w:type="gramEnd"/>
    </w:p>
    <w:p w:rsidR="00573D08" w:rsidRPr="00573D08" w:rsidRDefault="00573D08" w:rsidP="00573D08">
      <w:pPr>
        <w:pStyle w:val="underpoint"/>
      </w:pPr>
      <w:r w:rsidRPr="00573D08">
        <w:t>2.5. суммы, начисленные по гражданско-правовым договорам;</w:t>
      </w:r>
    </w:p>
    <w:p w:rsidR="00573D08" w:rsidRPr="00573D08" w:rsidRDefault="00573D08" w:rsidP="00573D08">
      <w:pPr>
        <w:pStyle w:val="underpoint"/>
      </w:pPr>
      <w:r w:rsidRPr="00573D08">
        <w:t>2.6. 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учреждение открытого типа либо нахождения на принудительном лечении;</w:t>
      </w:r>
    </w:p>
    <w:p w:rsidR="00573D08" w:rsidRPr="00573D08" w:rsidRDefault="00573D08" w:rsidP="00573D08">
      <w:pPr>
        <w:pStyle w:val="underpoint"/>
      </w:pPr>
      <w:r w:rsidRPr="00573D08">
        <w:t>2.7. все виды стипендий и доплат к ним независимо от источников выплаты;</w:t>
      </w:r>
    </w:p>
    <w:p w:rsidR="00573D08" w:rsidRPr="00573D08" w:rsidRDefault="00573D08" w:rsidP="00573D08">
      <w:pPr>
        <w:pStyle w:val="underpoint"/>
      </w:pPr>
      <w:r w:rsidRPr="00573D08">
        <w:t>2.8. все виды пенсий, в том числе получаемых из других государств, с учетом надбавок, доплат и повышений;</w:t>
      </w:r>
    </w:p>
    <w:p w:rsidR="00573D08" w:rsidRPr="00573D08" w:rsidRDefault="00573D08" w:rsidP="00573D08">
      <w:pPr>
        <w:pStyle w:val="underpoint"/>
      </w:pPr>
      <w:proofErr w:type="gramStart"/>
      <w:r w:rsidRPr="00573D08">
        <w:t xml:space="preserve">2.9. ежемесячное пособие родителям и женам (не вступившим в новый брак) военнослужащих, лиц начальствующего и рядового состава, смерть которых наступила в период прохождения военной службы, службы и связана с исполнением обязанностей военной службы (служебных обязанностей), рабочих и служащих, погибших (умерших) при выполнении служебного долга в Афганистане или других странах, где велись боевые действия, согласно </w:t>
      </w:r>
      <w:r w:rsidRPr="00573D08">
        <w:t>перечню</w:t>
      </w:r>
      <w:r w:rsidRPr="00573D08">
        <w:t>, определяемому Министерством обороны;</w:t>
      </w:r>
      <w:proofErr w:type="gramEnd"/>
    </w:p>
    <w:p w:rsidR="00573D08" w:rsidRPr="00573D08" w:rsidRDefault="00573D08" w:rsidP="00573D08">
      <w:pPr>
        <w:pStyle w:val="underpoint"/>
      </w:pPr>
      <w:r w:rsidRPr="00573D08">
        <w:t>2.10. пособие по безработице;</w:t>
      </w:r>
    </w:p>
    <w:p w:rsidR="00573D08" w:rsidRPr="00573D08" w:rsidRDefault="00573D08" w:rsidP="00573D08">
      <w:pPr>
        <w:pStyle w:val="underpoint"/>
      </w:pPr>
      <w:r w:rsidRPr="00573D08">
        <w:t>2.11. материальная помощь безработным и членам их семей, находящимся на их иждивении,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 по направлению органа по труду, занятости и социальной защите;</w:t>
      </w:r>
    </w:p>
    <w:p w:rsidR="00573D08" w:rsidRPr="00573D08" w:rsidRDefault="00573D08" w:rsidP="00573D08">
      <w:pPr>
        <w:pStyle w:val="underpoint"/>
      </w:pPr>
      <w:r w:rsidRPr="00573D08">
        <w:t>2.12. пособие по временной нетрудоспособности;</w:t>
      </w:r>
    </w:p>
    <w:p w:rsidR="00573D08" w:rsidRPr="00573D08" w:rsidRDefault="00573D08" w:rsidP="00573D08">
      <w:pPr>
        <w:pStyle w:val="underpoint"/>
      </w:pPr>
      <w:r w:rsidRPr="00573D08">
        <w:t>2.13. пособие по уходу за инвалидом I группы либо лицом, достигшим 80-летнего возраста;</w:t>
      </w:r>
    </w:p>
    <w:p w:rsidR="00573D08" w:rsidRPr="00573D08" w:rsidRDefault="00573D08" w:rsidP="00573D08">
      <w:pPr>
        <w:pStyle w:val="underpoint"/>
      </w:pPr>
      <w:r w:rsidRPr="00573D08">
        <w:t xml:space="preserve">2.14. пособия, назначенные в соответствии с </w:t>
      </w:r>
      <w:r w:rsidRPr="00573D08">
        <w:t>Законом</w:t>
      </w:r>
      <w:r w:rsidRPr="00573D08">
        <w:t xml:space="preserve"> Республики Беларусь «О государственных пособиях семьям, воспитывающим детей»,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573D08" w:rsidRPr="00573D08" w:rsidRDefault="00573D08" w:rsidP="00573D08">
      <w:pPr>
        <w:pStyle w:val="underpoint"/>
      </w:pPr>
      <w:r w:rsidRPr="00573D08">
        <w:lastRenderedPageBreak/>
        <w:t>2.15. денежная помощь выпускникам учреждений образования, которым место работы предоставлено путем распределения, направления;</w:t>
      </w:r>
    </w:p>
    <w:p w:rsidR="00573D08" w:rsidRPr="00573D08" w:rsidRDefault="00573D08" w:rsidP="00573D08">
      <w:pPr>
        <w:pStyle w:val="underpoint"/>
      </w:pPr>
      <w:r w:rsidRPr="00573D08">
        <w:t>2.16. доплаты за ученые степени и ученые звания;</w:t>
      </w:r>
    </w:p>
    <w:p w:rsidR="00573D08" w:rsidRPr="00573D08" w:rsidRDefault="00573D08" w:rsidP="00573D08">
      <w:pPr>
        <w:pStyle w:val="underpoint"/>
      </w:pPr>
      <w:r w:rsidRPr="00573D08">
        <w:t>2.17. 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573D08" w:rsidRPr="00573D08" w:rsidRDefault="00573D08" w:rsidP="00573D08">
      <w:pPr>
        <w:pStyle w:val="underpoint"/>
      </w:pPr>
      <w:r w:rsidRPr="00573D08">
        <w:t>2.18. денежные выплаты гражданам, имеющим почетные звания;</w:t>
      </w:r>
    </w:p>
    <w:p w:rsidR="00573D08" w:rsidRPr="00573D08" w:rsidRDefault="00573D08" w:rsidP="00573D08">
      <w:pPr>
        <w:pStyle w:val="underpoint"/>
      </w:pPr>
      <w:r w:rsidRPr="00573D08">
        <w:t xml:space="preserve">2.19. ежемесячное денежное содержание, предоставляемое в соответствии с </w:t>
      </w:r>
      <w:r w:rsidRPr="00573D08">
        <w:t>Указом</w:t>
      </w:r>
      <w:r w:rsidRPr="00573D08">
        <w:t xml:space="preserve"> Президента Республики Беларусь от 30 ноября 2006 г. № 705;</w:t>
      </w:r>
    </w:p>
    <w:p w:rsidR="00573D08" w:rsidRPr="00573D08" w:rsidRDefault="00573D08" w:rsidP="00573D08">
      <w:pPr>
        <w:pStyle w:val="underpoint"/>
      </w:pPr>
      <w:r w:rsidRPr="00573D08">
        <w:t>2.20. доходы, полученные от использования объектов интеллектуальной собственности;</w:t>
      </w:r>
    </w:p>
    <w:p w:rsidR="00573D08" w:rsidRPr="00573D08" w:rsidRDefault="00573D08" w:rsidP="00573D08">
      <w:pPr>
        <w:pStyle w:val="underpoint"/>
      </w:pPr>
      <w:r w:rsidRPr="00573D08">
        <w:t>2.21. суммы, получаемые в возмещение вреда, причиненного жизни или здоровью гражданина при выполнении договорных или иных обязательств, в части утраченного заработка (дохода);</w:t>
      </w:r>
    </w:p>
    <w:p w:rsidR="00573D08" w:rsidRPr="00573D08" w:rsidRDefault="00573D08" w:rsidP="00573D08">
      <w:pPr>
        <w:pStyle w:val="underpoint"/>
      </w:pPr>
      <w:r w:rsidRPr="00573D08">
        <w:t>2.22. алименты;</w:t>
      </w:r>
    </w:p>
    <w:p w:rsidR="00573D08" w:rsidRPr="00573D08" w:rsidRDefault="00573D08" w:rsidP="00573D08">
      <w:pPr>
        <w:pStyle w:val="underpoint"/>
      </w:pPr>
      <w:r w:rsidRPr="00573D08">
        <w:t xml:space="preserve">2.23. доходы по акциям и иные доходы от участия в управлении собственностью организации (дивиденды, проценты, выплаты по долевым паям и </w:t>
      </w:r>
      <w:proofErr w:type="gramStart"/>
      <w:r w:rsidRPr="00573D08">
        <w:t>другое</w:t>
      </w:r>
      <w:proofErr w:type="gramEnd"/>
      <w:r w:rsidRPr="00573D08">
        <w:t>);</w:t>
      </w:r>
    </w:p>
    <w:p w:rsidR="00573D08" w:rsidRPr="00573D08" w:rsidRDefault="00573D08" w:rsidP="00573D08">
      <w:pPr>
        <w:pStyle w:val="underpoint"/>
      </w:pPr>
      <w:r w:rsidRPr="00573D08">
        <w:t>2.24. выплаты, не носящие единовременный характер и произведенные за счет собственных средств организаций (за исключением путевок на санаторно-курортное лечение и оздоровление детей);</w:t>
      </w:r>
    </w:p>
    <w:p w:rsidR="00573D08" w:rsidRPr="00573D08" w:rsidRDefault="00573D08" w:rsidP="00573D08">
      <w:pPr>
        <w:pStyle w:val="underpoint"/>
      </w:pPr>
      <w:r w:rsidRPr="00573D08">
        <w:t>2.25. суммы денежных средств, получаемые в результате наследования, дарения, пожертвования и благотворительности;</w:t>
      </w:r>
    </w:p>
    <w:p w:rsidR="00573D08" w:rsidRPr="00573D08" w:rsidRDefault="00573D08" w:rsidP="00573D08">
      <w:pPr>
        <w:pStyle w:val="underpoint"/>
      </w:pPr>
      <w:r w:rsidRPr="00573D08">
        <w:t xml:space="preserve">2.26. доходы от возмездного отчуждения капитальных строений (зданий, сооружений), изолированных помещений, </w:t>
      </w:r>
      <w:proofErr w:type="spellStart"/>
      <w:r w:rsidRPr="00573D08">
        <w:t>машино</w:t>
      </w:r>
      <w:proofErr w:type="spellEnd"/>
      <w:r w:rsidRPr="00573D08">
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помещения;</w:t>
      </w:r>
    </w:p>
    <w:p w:rsidR="00573D08" w:rsidRPr="00573D08" w:rsidRDefault="00573D08" w:rsidP="00573D08">
      <w:pPr>
        <w:pStyle w:val="underpoint"/>
      </w:pPr>
      <w:r w:rsidRPr="00573D08">
        <w:t>2.27. гранты Президента Республики Беларусь в науке, образовании, здравоохранении, культуре;</w:t>
      </w:r>
    </w:p>
    <w:p w:rsidR="00573D08" w:rsidRPr="00573D08" w:rsidRDefault="00573D08" w:rsidP="00573D08">
      <w:pPr>
        <w:pStyle w:val="underpoint"/>
      </w:pPr>
      <w:r w:rsidRPr="00573D08">
        <w:t xml:space="preserve">2.28. 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адвокатов, осуществляющих адвокатскую деятельность индивидуально, а также доходы от осуществления видов деятельности, указанных в </w:t>
      </w:r>
      <w:r w:rsidRPr="00573D08">
        <w:t>пункте 1</w:t>
      </w:r>
      <w:r w:rsidRPr="00573D08">
        <w:t xml:space="preserve"> статьи 295 Налогового кодекса Республики Беларусь, и деятельности по оказанию услуг в сфере </w:t>
      </w:r>
      <w:proofErr w:type="spellStart"/>
      <w:r w:rsidRPr="00573D08">
        <w:t>агроэкотуризма</w:t>
      </w:r>
      <w:proofErr w:type="spellEnd"/>
      <w:r w:rsidRPr="00573D08">
        <w:t>;</w:t>
      </w:r>
    </w:p>
    <w:p w:rsidR="00573D08" w:rsidRPr="00573D08" w:rsidRDefault="00573D08" w:rsidP="00573D08">
      <w:pPr>
        <w:pStyle w:val="underpoint"/>
      </w:pPr>
      <w:proofErr w:type="gramStart"/>
      <w:r w:rsidRPr="00573D08">
        <w:t xml:space="preserve">2.29. ежемесячное государственное пособие подозреваемому или обвиняемому, временно отстраненному от должности органом, ведущим уголовный процесс, выплачиваемое в соответствии с </w:t>
      </w:r>
      <w:r w:rsidRPr="00573D08">
        <w:t>постановлением</w:t>
      </w:r>
      <w:r w:rsidRPr="00573D08">
        <w:t xml:space="preserve"> Совета Министров Республики Беларусь от 17 января 2008 г. № 58 «О некоторых вопросах выплаты ежемесячного государственного пособия подозреваемому или обвиняемому, временно отстраненным от должности органом, ведущим уголовный процесс» (Национальный реестр правовых актов Республики Беларусь, 2008 г., № 27, 5/26671).</w:t>
      </w:r>
      <w:proofErr w:type="gramEnd"/>
    </w:p>
    <w:p w:rsidR="00442F22" w:rsidRPr="00573D08" w:rsidRDefault="00442F22">
      <w:pPr>
        <w:rPr>
          <w:lang w:val="en-US"/>
        </w:rPr>
      </w:pPr>
      <w:bookmarkStart w:id="4" w:name="_GoBack"/>
      <w:bookmarkEnd w:id="4"/>
    </w:p>
    <w:sectPr w:rsidR="00442F22" w:rsidRPr="0057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08"/>
    <w:rsid w:val="00442F22"/>
    <w:rsid w:val="005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D08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73D08"/>
    <w:rPr>
      <w:shd w:val="clear" w:color="auto" w:fill="FFFF00"/>
    </w:rPr>
  </w:style>
  <w:style w:type="paragraph" w:customStyle="1" w:styleId="titlencpi">
    <w:name w:val="titlencpi"/>
    <w:basedOn w:val="a"/>
    <w:rsid w:val="00573D08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73D08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73D0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73D0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73D0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73D08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573D08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73D08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73D08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73D0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3D08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573D0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73D0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73D0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73D0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73D0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73D0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D08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73D08"/>
    <w:rPr>
      <w:shd w:val="clear" w:color="auto" w:fill="FFFF00"/>
    </w:rPr>
  </w:style>
  <w:style w:type="paragraph" w:customStyle="1" w:styleId="titlencpi">
    <w:name w:val="titlencpi"/>
    <w:basedOn w:val="a"/>
    <w:rsid w:val="00573D08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73D08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73D0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73D0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73D0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73D08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573D08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73D08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73D08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73D0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3D08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573D0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73D0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73D0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73D0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73D0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73D0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2018-08-31T13:56:00Z</dcterms:created>
  <dcterms:modified xsi:type="dcterms:W3CDTF">2018-08-31T13:56:00Z</dcterms:modified>
</cp:coreProperties>
</file>